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91" w:rsidRDefault="004829C9">
      <w:pPr>
        <w:rPr>
          <w:sz w:val="28"/>
          <w:szCs w:val="28"/>
        </w:rPr>
      </w:pPr>
      <w:bookmarkStart w:id="0" w:name="_GoBack"/>
      <w:bookmarkEnd w:id="0"/>
      <w:r w:rsidRPr="0086667F">
        <w:rPr>
          <w:sz w:val="28"/>
          <w:szCs w:val="28"/>
        </w:rPr>
        <w:t>Space Management</w:t>
      </w:r>
      <w:r w:rsidR="00D17691">
        <w:rPr>
          <w:sz w:val="28"/>
          <w:szCs w:val="28"/>
        </w:rPr>
        <w:t xml:space="preserve"> Reference Guide</w:t>
      </w:r>
    </w:p>
    <w:p w:rsidR="004829C9" w:rsidRPr="00BD7E13" w:rsidRDefault="004829C9">
      <w:pPr>
        <w:rPr>
          <w:b/>
          <w:i/>
          <w:sz w:val="24"/>
          <w:szCs w:val="24"/>
          <w:u w:val="single"/>
        </w:rPr>
      </w:pPr>
      <w:r w:rsidRPr="00BD7E13">
        <w:rPr>
          <w:b/>
          <w:i/>
          <w:sz w:val="24"/>
          <w:szCs w:val="24"/>
          <w:u w:val="single"/>
        </w:rPr>
        <w:t xml:space="preserve"> Glossary of Terms and Phrases</w:t>
      </w:r>
    </w:p>
    <w:p w:rsidR="004829C9" w:rsidRPr="00D17691" w:rsidRDefault="004829C9" w:rsidP="00D17691">
      <w:pPr>
        <w:pStyle w:val="ListParagraph"/>
        <w:numPr>
          <w:ilvl w:val="0"/>
          <w:numId w:val="1"/>
        </w:numPr>
        <w:spacing w:after="120" w:line="240" w:lineRule="auto"/>
        <w:ind w:left="810" w:hanging="450"/>
        <w:contextualSpacing w:val="0"/>
        <w:rPr>
          <w:color w:val="000000" w:themeColor="text1"/>
        </w:rPr>
      </w:pPr>
      <w:r w:rsidRPr="00BD7E13">
        <w:rPr>
          <w:b/>
          <w:color w:val="000000" w:themeColor="text1"/>
        </w:rPr>
        <w:t>Space Management</w:t>
      </w:r>
      <w:r w:rsidR="003C1384" w:rsidRPr="00BD7E13">
        <w:rPr>
          <w:b/>
          <w:color w:val="000000" w:themeColor="text1"/>
        </w:rPr>
        <w:t xml:space="preserve"> Principles </w:t>
      </w:r>
      <w:r w:rsidR="003C1384" w:rsidRPr="00D17691">
        <w:rPr>
          <w:color w:val="000000" w:themeColor="text1"/>
        </w:rPr>
        <w:t xml:space="preserve">- </w:t>
      </w:r>
      <w:r w:rsidR="003C1384" w:rsidRPr="00D17691">
        <w:rPr>
          <w:rFonts w:ascii="Calibri" w:hAnsi="Calibri" w:cs="Calibri"/>
          <w:color w:val="000000" w:themeColor="text1"/>
        </w:rPr>
        <w:t>are the principles that guide the definition and application of the Space Planning Guidelines, the creation and implementation of Space Planning Standards and the steps that make up the Space Allocation Process</w:t>
      </w:r>
    </w:p>
    <w:p w:rsidR="004829C9" w:rsidRPr="00D17691" w:rsidRDefault="004829C9" w:rsidP="00D17691">
      <w:pPr>
        <w:pStyle w:val="ListParagraph"/>
        <w:numPr>
          <w:ilvl w:val="0"/>
          <w:numId w:val="1"/>
        </w:numPr>
        <w:spacing w:after="120" w:line="240" w:lineRule="auto"/>
        <w:ind w:left="810" w:hanging="450"/>
        <w:contextualSpacing w:val="0"/>
        <w:rPr>
          <w:color w:val="000000" w:themeColor="text1"/>
        </w:rPr>
      </w:pPr>
      <w:r w:rsidRPr="00BD7E13">
        <w:rPr>
          <w:b/>
          <w:color w:val="000000" w:themeColor="text1"/>
        </w:rPr>
        <w:t>Space Planning Guidelines</w:t>
      </w:r>
      <w:r w:rsidR="003C1384" w:rsidRPr="00D17691">
        <w:rPr>
          <w:color w:val="000000" w:themeColor="text1"/>
        </w:rPr>
        <w:t xml:space="preserve"> </w:t>
      </w:r>
      <w:r w:rsidR="000114A3" w:rsidRPr="00D17691">
        <w:rPr>
          <w:color w:val="000000" w:themeColor="text1"/>
        </w:rPr>
        <w:t>–</w:t>
      </w:r>
      <w:r w:rsidR="003C1384" w:rsidRPr="00D17691">
        <w:rPr>
          <w:color w:val="000000" w:themeColor="text1"/>
        </w:rPr>
        <w:t xml:space="preserve"> </w:t>
      </w:r>
      <w:r w:rsidR="000114A3" w:rsidRPr="00D17691">
        <w:rPr>
          <w:rFonts w:ascii="Calibri" w:hAnsi="Calibri" w:cs="Calibri"/>
          <w:color w:val="000000" w:themeColor="text1"/>
        </w:rPr>
        <w:t xml:space="preserve">are the guidelines that inform the </w:t>
      </w:r>
      <w:r w:rsidR="003C1384" w:rsidRPr="00D17691">
        <w:rPr>
          <w:rFonts w:ascii="Calibri" w:hAnsi="Calibri" w:cs="Calibri"/>
          <w:color w:val="000000" w:themeColor="text1"/>
        </w:rPr>
        <w:t>planning and design of space to facilitate a particular function(s)</w:t>
      </w:r>
      <w:r w:rsidR="000114A3" w:rsidRPr="00D17691">
        <w:rPr>
          <w:rFonts w:ascii="Calibri" w:hAnsi="Calibri" w:cs="Calibri"/>
          <w:color w:val="000000" w:themeColor="text1"/>
        </w:rPr>
        <w:t xml:space="preserve"> and/or house a specific population</w:t>
      </w:r>
      <w:r w:rsidR="003C1384" w:rsidRPr="00D17691">
        <w:rPr>
          <w:rFonts w:ascii="Calibri" w:hAnsi="Calibri" w:cs="Calibri"/>
          <w:color w:val="000000" w:themeColor="text1"/>
        </w:rPr>
        <w:t>.</w:t>
      </w:r>
    </w:p>
    <w:p w:rsidR="004829C9" w:rsidRPr="00D17691" w:rsidRDefault="004829C9" w:rsidP="00D17691">
      <w:pPr>
        <w:pStyle w:val="ListParagraph"/>
        <w:numPr>
          <w:ilvl w:val="0"/>
          <w:numId w:val="1"/>
        </w:numPr>
        <w:spacing w:before="240" w:after="120"/>
        <w:ind w:left="810" w:hanging="450"/>
        <w:contextualSpacing w:val="0"/>
        <w:rPr>
          <w:color w:val="000000" w:themeColor="text1"/>
        </w:rPr>
      </w:pPr>
      <w:r w:rsidRPr="00BD7E13">
        <w:rPr>
          <w:b/>
          <w:color w:val="000000" w:themeColor="text1"/>
        </w:rPr>
        <w:t>Space Standards</w:t>
      </w:r>
      <w:r w:rsidR="000114A3" w:rsidRPr="00D17691">
        <w:rPr>
          <w:color w:val="000000" w:themeColor="text1"/>
        </w:rPr>
        <w:t xml:space="preserve"> - </w:t>
      </w:r>
      <w:r w:rsidR="000114A3" w:rsidRPr="00D17691">
        <w:rPr>
          <w:rFonts w:ascii="Calibri" w:hAnsi="Calibri" w:cs="Calibri"/>
          <w:color w:val="000000" w:themeColor="text1"/>
        </w:rPr>
        <w:t>refer to the characteristics of specific space types that are applied to each population or function</w:t>
      </w:r>
    </w:p>
    <w:p w:rsidR="000114A3" w:rsidRPr="00D17691" w:rsidRDefault="004829C9" w:rsidP="00D17691">
      <w:pPr>
        <w:pStyle w:val="ListParagraph"/>
        <w:numPr>
          <w:ilvl w:val="0"/>
          <w:numId w:val="1"/>
        </w:numPr>
        <w:spacing w:before="240" w:after="120"/>
        <w:ind w:left="810" w:hanging="450"/>
        <w:contextualSpacing w:val="0"/>
        <w:rPr>
          <w:color w:val="000000" w:themeColor="text1"/>
        </w:rPr>
      </w:pPr>
      <w:r w:rsidRPr="00BD7E13">
        <w:rPr>
          <w:b/>
          <w:color w:val="000000" w:themeColor="text1"/>
        </w:rPr>
        <w:t>Space Allocation Process</w:t>
      </w:r>
      <w:r w:rsidR="000114A3" w:rsidRPr="00D17691">
        <w:rPr>
          <w:color w:val="000000" w:themeColor="text1"/>
        </w:rPr>
        <w:t xml:space="preserve"> - is</w:t>
      </w:r>
      <w:r w:rsidR="000114A3" w:rsidRPr="00D17691">
        <w:rPr>
          <w:rFonts w:ascii="Calibri" w:hAnsi="Calibri" w:cs="Calibri"/>
          <w:color w:val="000000" w:themeColor="text1"/>
        </w:rPr>
        <w:t xml:space="preserve"> the set of steps by which space allocations are determined and decisions are made </w:t>
      </w:r>
    </w:p>
    <w:p w:rsidR="000114A3" w:rsidRPr="00D17691" w:rsidRDefault="000114A3" w:rsidP="00D17691">
      <w:pPr>
        <w:pStyle w:val="ListParagraph"/>
        <w:numPr>
          <w:ilvl w:val="0"/>
          <w:numId w:val="1"/>
        </w:numPr>
        <w:spacing w:before="240" w:after="120"/>
        <w:ind w:left="810" w:hanging="450"/>
        <w:contextualSpacing w:val="0"/>
        <w:rPr>
          <w:color w:val="000000" w:themeColor="text1"/>
        </w:rPr>
      </w:pPr>
      <w:r w:rsidRPr="00BD7E13">
        <w:rPr>
          <w:b/>
          <w:color w:val="000000" w:themeColor="text1"/>
        </w:rPr>
        <w:t>Allocation</w:t>
      </w:r>
      <w:r w:rsidRPr="00D17691">
        <w:rPr>
          <w:color w:val="000000" w:themeColor="text1"/>
        </w:rPr>
        <w:t xml:space="preserve"> – the allocation of space refers to the distribution or allotment of a block of space by the Provost to the</w:t>
      </w:r>
      <w:r w:rsidR="00327E5C">
        <w:rPr>
          <w:color w:val="000000" w:themeColor="text1"/>
        </w:rPr>
        <w:t xml:space="preserve"> </w:t>
      </w:r>
      <w:r w:rsidRPr="00D17691">
        <w:rPr>
          <w:color w:val="000000" w:themeColor="text1"/>
        </w:rPr>
        <w:t>School Space Control Officer</w:t>
      </w:r>
      <w:r w:rsidR="00327E5C">
        <w:rPr>
          <w:color w:val="000000" w:themeColor="text1"/>
        </w:rPr>
        <w:t xml:space="preserve"> in the School or Division.</w:t>
      </w:r>
    </w:p>
    <w:p w:rsidR="004829C9" w:rsidRPr="00D17691" w:rsidRDefault="000114A3" w:rsidP="00D17691">
      <w:pPr>
        <w:pStyle w:val="ListParagraph"/>
        <w:numPr>
          <w:ilvl w:val="0"/>
          <w:numId w:val="1"/>
        </w:numPr>
        <w:spacing w:before="240" w:after="120"/>
        <w:ind w:left="810" w:hanging="450"/>
        <w:contextualSpacing w:val="0"/>
        <w:rPr>
          <w:color w:val="000000" w:themeColor="text1"/>
        </w:rPr>
      </w:pPr>
      <w:r w:rsidRPr="00BD7E13">
        <w:rPr>
          <w:b/>
          <w:color w:val="000000" w:themeColor="text1"/>
        </w:rPr>
        <w:t>Assignment</w:t>
      </w:r>
      <w:r w:rsidRPr="00D17691">
        <w:rPr>
          <w:color w:val="000000" w:themeColor="text1"/>
        </w:rPr>
        <w:t xml:space="preserve"> –</w:t>
      </w:r>
      <w:r w:rsidR="005075E7" w:rsidRPr="00D17691">
        <w:rPr>
          <w:color w:val="000000" w:themeColor="text1"/>
        </w:rPr>
        <w:t xml:space="preserve"> of space refers to the designation of occupancy of a space from the Space Control Officer to a particular individual and/or program</w:t>
      </w:r>
    </w:p>
    <w:p w:rsidR="003C1384" w:rsidRPr="00D17691" w:rsidRDefault="003C1384" w:rsidP="00D17691">
      <w:pPr>
        <w:pStyle w:val="ListParagraph"/>
        <w:numPr>
          <w:ilvl w:val="0"/>
          <w:numId w:val="1"/>
        </w:numPr>
        <w:spacing w:before="240" w:after="120"/>
        <w:ind w:left="810" w:hanging="450"/>
        <w:contextualSpacing w:val="0"/>
        <w:rPr>
          <w:color w:val="000000" w:themeColor="text1"/>
        </w:rPr>
      </w:pPr>
      <w:r w:rsidRPr="00BD7E13">
        <w:rPr>
          <w:b/>
          <w:color w:val="000000" w:themeColor="text1"/>
        </w:rPr>
        <w:t>Ownership</w:t>
      </w:r>
      <w:r w:rsidR="005075E7" w:rsidRPr="00D17691">
        <w:rPr>
          <w:color w:val="000000" w:themeColor="text1"/>
        </w:rPr>
        <w:t xml:space="preserve"> – is a complex term that determines the rights and duties of one or more parties over an object or physical </w:t>
      </w:r>
      <w:r w:rsidR="00327E5C">
        <w:rPr>
          <w:color w:val="000000" w:themeColor="text1"/>
        </w:rPr>
        <w:t>space</w:t>
      </w:r>
      <w:r w:rsidR="005075E7" w:rsidRPr="00D17691">
        <w:rPr>
          <w:color w:val="000000" w:themeColor="text1"/>
        </w:rPr>
        <w:t>.   These rights and duties can be separated and held by different parties.  In the case of space at UC Merced, ownership of space belongs to the Regents of the University of California.   Specific elements of the rights and duties of ownership are delegated by the Chancellor to the Provost and by the Provost to the Space Control Of</w:t>
      </w:r>
      <w:r w:rsidR="00B61930" w:rsidRPr="00D17691">
        <w:rPr>
          <w:color w:val="000000" w:themeColor="text1"/>
        </w:rPr>
        <w:t>ficers in the Divisions/Schools through the space allocation process.</w:t>
      </w:r>
    </w:p>
    <w:p w:rsidR="00B61930" w:rsidRPr="00D17691" w:rsidRDefault="00B61930" w:rsidP="00D17691">
      <w:pPr>
        <w:pStyle w:val="ListParagraph"/>
        <w:numPr>
          <w:ilvl w:val="0"/>
          <w:numId w:val="1"/>
        </w:numPr>
        <w:spacing w:before="240" w:after="120"/>
        <w:ind w:left="810" w:hanging="450"/>
        <w:contextualSpacing w:val="0"/>
        <w:rPr>
          <w:color w:val="000000" w:themeColor="text1"/>
        </w:rPr>
      </w:pPr>
      <w:r w:rsidRPr="00BD7E13">
        <w:rPr>
          <w:b/>
          <w:color w:val="000000" w:themeColor="text1"/>
        </w:rPr>
        <w:t>Control</w:t>
      </w:r>
      <w:r w:rsidRPr="00D17691">
        <w:rPr>
          <w:color w:val="000000" w:themeColor="text1"/>
        </w:rPr>
        <w:t xml:space="preserve"> – refers to the Space Control Officer’s ability to determine the use parameters for a specific space.  Rules around control of a space should be guided by the Principles of Campus Space Management.</w:t>
      </w:r>
    </w:p>
    <w:p w:rsidR="00B61930" w:rsidRPr="00D17691" w:rsidRDefault="00B61930" w:rsidP="00D17691">
      <w:pPr>
        <w:pStyle w:val="ListParagraph"/>
        <w:numPr>
          <w:ilvl w:val="0"/>
          <w:numId w:val="1"/>
        </w:numPr>
        <w:spacing w:before="240" w:after="120"/>
        <w:ind w:left="810" w:hanging="450"/>
        <w:contextualSpacing w:val="0"/>
        <w:rPr>
          <w:color w:val="000000" w:themeColor="text1"/>
        </w:rPr>
      </w:pPr>
      <w:r w:rsidRPr="00BD7E13">
        <w:rPr>
          <w:b/>
          <w:color w:val="000000" w:themeColor="text1"/>
        </w:rPr>
        <w:t>Access</w:t>
      </w:r>
      <w:r w:rsidRPr="00D17691">
        <w:rPr>
          <w:color w:val="000000" w:themeColor="text1"/>
        </w:rPr>
        <w:t xml:space="preserve"> – refers to the ability to enter and/or use a space.  Rules around access to a space should be guided by the Principles of Campus Space Management.</w:t>
      </w:r>
    </w:p>
    <w:p w:rsidR="004829C9" w:rsidRPr="00D17691" w:rsidRDefault="004829C9" w:rsidP="00D17691">
      <w:pPr>
        <w:pStyle w:val="ListParagraph"/>
        <w:numPr>
          <w:ilvl w:val="0"/>
          <w:numId w:val="1"/>
        </w:numPr>
        <w:spacing w:before="240" w:after="120"/>
        <w:ind w:left="810" w:hanging="450"/>
        <w:contextualSpacing w:val="0"/>
        <w:rPr>
          <w:color w:val="000000" w:themeColor="text1"/>
        </w:rPr>
      </w:pPr>
      <w:r w:rsidRPr="00BD7E13">
        <w:rPr>
          <w:b/>
          <w:color w:val="000000" w:themeColor="text1"/>
        </w:rPr>
        <w:t>Swing Space</w:t>
      </w:r>
      <w:r w:rsidR="00D74CF6" w:rsidRPr="00D17691">
        <w:rPr>
          <w:color w:val="000000" w:themeColor="text1"/>
        </w:rPr>
        <w:t xml:space="preserve"> –</w:t>
      </w:r>
      <w:r w:rsidR="00E149D6" w:rsidRPr="00D17691">
        <w:rPr>
          <w:color w:val="000000" w:themeColor="text1"/>
        </w:rPr>
        <w:t xml:space="preserve">is </w:t>
      </w:r>
      <w:r w:rsidR="00D74CF6" w:rsidRPr="00D17691">
        <w:rPr>
          <w:color w:val="000000" w:themeColor="text1"/>
        </w:rPr>
        <w:t xml:space="preserve">space that can be occupied temporarily while </w:t>
      </w:r>
      <w:r w:rsidR="00E149D6" w:rsidRPr="00D17691">
        <w:rPr>
          <w:color w:val="000000" w:themeColor="text1"/>
        </w:rPr>
        <w:t>a permanent space assignment is identified and/or renovated.</w:t>
      </w:r>
    </w:p>
    <w:p w:rsidR="004829C9" w:rsidRPr="00D17691" w:rsidRDefault="004829C9" w:rsidP="00D17691">
      <w:pPr>
        <w:pStyle w:val="ListParagraph"/>
        <w:numPr>
          <w:ilvl w:val="0"/>
          <w:numId w:val="1"/>
        </w:numPr>
        <w:spacing w:before="240" w:after="120"/>
        <w:ind w:left="810" w:hanging="450"/>
        <w:contextualSpacing w:val="0"/>
        <w:rPr>
          <w:color w:val="000000" w:themeColor="text1"/>
        </w:rPr>
      </w:pPr>
      <w:r w:rsidRPr="00BD7E13">
        <w:rPr>
          <w:b/>
          <w:color w:val="000000" w:themeColor="text1"/>
        </w:rPr>
        <w:t>Principles</w:t>
      </w:r>
      <w:r w:rsidR="00E149D6" w:rsidRPr="00D17691">
        <w:rPr>
          <w:color w:val="000000" w:themeColor="text1"/>
        </w:rPr>
        <w:t xml:space="preserve"> – are fundamental propositions that serve as the foundation for agreement on the essential characteristics of a system, organization or structure.  Principles should govern the creation of objectives, guidelines, standards, policies and the processes that manifest them.</w:t>
      </w:r>
    </w:p>
    <w:p w:rsidR="004829C9" w:rsidRPr="00D17691" w:rsidRDefault="004829C9" w:rsidP="00D17691">
      <w:pPr>
        <w:pStyle w:val="ListParagraph"/>
        <w:numPr>
          <w:ilvl w:val="0"/>
          <w:numId w:val="1"/>
        </w:numPr>
        <w:spacing w:before="240" w:after="120"/>
        <w:ind w:left="810" w:hanging="450"/>
        <w:contextualSpacing w:val="0"/>
        <w:rPr>
          <w:color w:val="000000" w:themeColor="text1"/>
        </w:rPr>
      </w:pPr>
      <w:r w:rsidRPr="00BD7E13">
        <w:rPr>
          <w:b/>
          <w:color w:val="000000" w:themeColor="text1"/>
        </w:rPr>
        <w:t>Guidelines</w:t>
      </w:r>
      <w:r w:rsidR="00E149D6" w:rsidRPr="00D17691">
        <w:rPr>
          <w:color w:val="000000" w:themeColor="text1"/>
        </w:rPr>
        <w:t xml:space="preserve"> – are general rule</w:t>
      </w:r>
      <w:r w:rsidR="00231182" w:rsidRPr="00D17691">
        <w:rPr>
          <w:color w:val="000000" w:themeColor="text1"/>
        </w:rPr>
        <w:t>s</w:t>
      </w:r>
      <w:r w:rsidR="00E149D6" w:rsidRPr="00D17691">
        <w:rPr>
          <w:color w:val="000000" w:themeColor="text1"/>
        </w:rPr>
        <w:t xml:space="preserve"> by which to determine a course of action</w:t>
      </w:r>
    </w:p>
    <w:p w:rsidR="004829C9" w:rsidRPr="00D17691" w:rsidRDefault="004829C9" w:rsidP="00D17691">
      <w:pPr>
        <w:pStyle w:val="ListParagraph"/>
        <w:numPr>
          <w:ilvl w:val="0"/>
          <w:numId w:val="1"/>
        </w:numPr>
        <w:spacing w:before="240" w:after="120"/>
        <w:ind w:left="810" w:hanging="450"/>
        <w:contextualSpacing w:val="0"/>
        <w:rPr>
          <w:color w:val="000000" w:themeColor="text1"/>
        </w:rPr>
      </w:pPr>
      <w:r w:rsidRPr="00BD7E13">
        <w:rPr>
          <w:b/>
          <w:color w:val="000000" w:themeColor="text1"/>
        </w:rPr>
        <w:lastRenderedPageBreak/>
        <w:t>Standards</w:t>
      </w:r>
      <w:r w:rsidR="00231182" w:rsidRPr="00BD7E13">
        <w:rPr>
          <w:b/>
          <w:color w:val="000000" w:themeColor="text1"/>
        </w:rPr>
        <w:t xml:space="preserve"> </w:t>
      </w:r>
      <w:r w:rsidR="00231182" w:rsidRPr="00D17691">
        <w:rPr>
          <w:color w:val="000000" w:themeColor="text1"/>
        </w:rPr>
        <w:t>– a rule that is established as a unit of measure against which other units can be compared (e.g. the standard for a ladder ranked faculty office is 130 square feet whereas the standard for a graduate student workstation is 36 square feet)</w:t>
      </w:r>
    </w:p>
    <w:p w:rsidR="004829C9" w:rsidRPr="00D17691" w:rsidRDefault="00231182" w:rsidP="00D17691">
      <w:pPr>
        <w:pStyle w:val="ListParagraph"/>
        <w:numPr>
          <w:ilvl w:val="0"/>
          <w:numId w:val="1"/>
        </w:numPr>
        <w:spacing w:before="240" w:after="120"/>
        <w:ind w:left="810" w:hanging="450"/>
        <w:contextualSpacing w:val="0"/>
        <w:rPr>
          <w:color w:val="000000" w:themeColor="text1"/>
        </w:rPr>
      </w:pPr>
      <w:r w:rsidRPr="00D17691">
        <w:rPr>
          <w:color w:val="000000" w:themeColor="text1"/>
        </w:rPr>
        <w:t xml:space="preserve"> </w:t>
      </w:r>
      <w:r w:rsidRPr="00BD7E13">
        <w:rPr>
          <w:b/>
          <w:color w:val="000000" w:themeColor="text1"/>
        </w:rPr>
        <w:t>Process</w:t>
      </w:r>
      <w:r w:rsidRPr="00D17691">
        <w:rPr>
          <w:color w:val="000000" w:themeColor="text1"/>
        </w:rPr>
        <w:t xml:space="preserve"> – a series actions or steps that will bring about a specific, intended result.  </w:t>
      </w:r>
    </w:p>
    <w:p w:rsidR="004829C9" w:rsidRPr="00D17691" w:rsidRDefault="004829C9" w:rsidP="00D17691">
      <w:pPr>
        <w:pStyle w:val="ListParagraph"/>
        <w:numPr>
          <w:ilvl w:val="0"/>
          <w:numId w:val="1"/>
        </w:numPr>
        <w:spacing w:before="240" w:after="120"/>
        <w:ind w:left="810" w:hanging="450"/>
        <w:contextualSpacing w:val="0"/>
        <w:rPr>
          <w:color w:val="000000" w:themeColor="text1"/>
        </w:rPr>
      </w:pPr>
      <w:r w:rsidRPr="00BD7E13">
        <w:rPr>
          <w:b/>
          <w:color w:val="000000" w:themeColor="text1"/>
        </w:rPr>
        <w:t>Space Control Officers</w:t>
      </w:r>
      <w:r w:rsidR="00AC55D4" w:rsidRPr="00D17691">
        <w:rPr>
          <w:color w:val="000000" w:themeColor="text1"/>
        </w:rPr>
        <w:t xml:space="preserve"> – the individual responsible for determining the use parameters for space, monitoring the effectiveness of its use and the individual or function to which it is assigned.  </w:t>
      </w:r>
    </w:p>
    <w:p w:rsidR="004829C9" w:rsidRPr="00D17691" w:rsidRDefault="004829C9" w:rsidP="00D17691">
      <w:pPr>
        <w:pStyle w:val="ListParagraph"/>
        <w:numPr>
          <w:ilvl w:val="0"/>
          <w:numId w:val="1"/>
        </w:numPr>
        <w:spacing w:before="240" w:after="120"/>
        <w:ind w:left="810" w:hanging="450"/>
        <w:contextualSpacing w:val="0"/>
        <w:rPr>
          <w:color w:val="000000" w:themeColor="text1"/>
        </w:rPr>
      </w:pPr>
      <w:r w:rsidRPr="00BD7E13">
        <w:rPr>
          <w:b/>
          <w:color w:val="000000" w:themeColor="text1"/>
        </w:rPr>
        <w:t>Long range</w:t>
      </w:r>
      <w:r w:rsidR="00AC55D4" w:rsidRPr="00D17691">
        <w:rPr>
          <w:color w:val="000000" w:themeColor="text1"/>
        </w:rPr>
        <w:t xml:space="preserve"> – </w:t>
      </w:r>
      <w:r w:rsidR="008B1477" w:rsidRPr="00D17691">
        <w:rPr>
          <w:color w:val="000000" w:themeColor="text1"/>
        </w:rPr>
        <w:t xml:space="preserve">as it pertains to space management </w:t>
      </w:r>
      <w:r w:rsidR="00AC55D4" w:rsidRPr="00D17691">
        <w:rPr>
          <w:color w:val="000000" w:themeColor="text1"/>
        </w:rPr>
        <w:t xml:space="preserve">is </w:t>
      </w:r>
      <w:r w:rsidR="008B1477" w:rsidRPr="00D17691">
        <w:rPr>
          <w:color w:val="000000" w:themeColor="text1"/>
        </w:rPr>
        <w:t xml:space="preserve">defined as any term that is in </w:t>
      </w:r>
      <w:r w:rsidR="00AC55D4" w:rsidRPr="00D17691">
        <w:rPr>
          <w:color w:val="000000" w:themeColor="text1"/>
        </w:rPr>
        <w:t>excess of one year.</w:t>
      </w:r>
    </w:p>
    <w:p w:rsidR="004829C9" w:rsidRPr="00D17691" w:rsidRDefault="004829C9" w:rsidP="00D17691">
      <w:pPr>
        <w:pStyle w:val="ListParagraph"/>
        <w:numPr>
          <w:ilvl w:val="0"/>
          <w:numId w:val="1"/>
        </w:numPr>
        <w:spacing w:before="120" w:after="120"/>
        <w:ind w:left="810" w:hanging="450"/>
        <w:contextualSpacing w:val="0"/>
        <w:rPr>
          <w:color w:val="000000" w:themeColor="text1"/>
        </w:rPr>
      </w:pPr>
      <w:r w:rsidRPr="00BD7E13">
        <w:rPr>
          <w:b/>
          <w:color w:val="000000" w:themeColor="text1"/>
        </w:rPr>
        <w:t>Temporary</w:t>
      </w:r>
      <w:r w:rsidR="00AC55D4" w:rsidRPr="00D17691">
        <w:rPr>
          <w:color w:val="000000" w:themeColor="text1"/>
        </w:rPr>
        <w:t xml:space="preserve"> –</w:t>
      </w:r>
      <w:r w:rsidR="008B1477" w:rsidRPr="00D17691">
        <w:rPr>
          <w:color w:val="000000" w:themeColor="text1"/>
        </w:rPr>
        <w:t xml:space="preserve"> as it pertains to space management is</w:t>
      </w:r>
      <w:r w:rsidR="00AC55D4" w:rsidRPr="00D17691">
        <w:rPr>
          <w:color w:val="000000" w:themeColor="text1"/>
        </w:rPr>
        <w:t xml:space="preserve"> defined as a</w:t>
      </w:r>
      <w:r w:rsidR="008B1477" w:rsidRPr="00D17691">
        <w:rPr>
          <w:color w:val="000000" w:themeColor="text1"/>
        </w:rPr>
        <w:t>ny term that is</w:t>
      </w:r>
      <w:r w:rsidR="00AC55D4" w:rsidRPr="00D17691">
        <w:rPr>
          <w:color w:val="000000" w:themeColor="text1"/>
        </w:rPr>
        <w:t xml:space="preserve"> less than one year.</w:t>
      </w:r>
    </w:p>
    <w:p w:rsidR="004829C9" w:rsidRPr="00D17691" w:rsidRDefault="008B1477" w:rsidP="00D17691">
      <w:pPr>
        <w:pStyle w:val="ListParagraph"/>
        <w:numPr>
          <w:ilvl w:val="0"/>
          <w:numId w:val="1"/>
        </w:numPr>
        <w:spacing w:before="120" w:after="120"/>
        <w:ind w:left="810" w:hanging="450"/>
        <w:contextualSpacing w:val="0"/>
        <w:rPr>
          <w:color w:val="000000" w:themeColor="text1"/>
        </w:rPr>
      </w:pPr>
      <w:r w:rsidRPr="00BD7E13">
        <w:rPr>
          <w:b/>
          <w:color w:val="000000" w:themeColor="text1"/>
        </w:rPr>
        <w:t>Space m</w:t>
      </w:r>
      <w:r w:rsidR="00EB79E6" w:rsidRPr="00BD7E13">
        <w:rPr>
          <w:b/>
          <w:color w:val="000000" w:themeColor="text1"/>
        </w:rPr>
        <w:t>etrics</w:t>
      </w:r>
      <w:r w:rsidR="00BD7E13">
        <w:rPr>
          <w:color w:val="000000" w:themeColor="text1"/>
        </w:rPr>
        <w:t xml:space="preserve"> </w:t>
      </w:r>
      <w:r w:rsidR="00EB79E6" w:rsidRPr="00D17691">
        <w:rPr>
          <w:color w:val="000000" w:themeColor="text1"/>
        </w:rPr>
        <w:t>--</w:t>
      </w:r>
      <w:r w:rsidRPr="00D17691">
        <w:rPr>
          <w:color w:val="000000" w:themeColor="text1"/>
        </w:rPr>
        <w:t xml:space="preserve"> are</w:t>
      </w:r>
      <w:r w:rsidR="00EB79E6" w:rsidRPr="00D17691">
        <w:rPr>
          <w:color w:val="000000" w:themeColor="text1"/>
        </w:rPr>
        <w:t xml:space="preserve"> </w:t>
      </w:r>
      <w:r w:rsidRPr="00D17691">
        <w:rPr>
          <w:color w:val="000000" w:themeColor="text1"/>
        </w:rPr>
        <w:t>formulas and/or standards by which space utilization is measured.</w:t>
      </w:r>
    </w:p>
    <w:p w:rsidR="00EB79E6" w:rsidRDefault="00EB79E6" w:rsidP="00D17691">
      <w:pPr>
        <w:pStyle w:val="ListParagraph"/>
        <w:numPr>
          <w:ilvl w:val="0"/>
          <w:numId w:val="1"/>
        </w:numPr>
        <w:spacing w:before="120" w:after="240" w:line="240" w:lineRule="auto"/>
        <w:ind w:left="810" w:hanging="450"/>
        <w:contextualSpacing w:val="0"/>
      </w:pPr>
      <w:r w:rsidRPr="00BD7E13">
        <w:rPr>
          <w:b/>
        </w:rPr>
        <w:t>Effective utilization</w:t>
      </w:r>
      <w:r w:rsidR="008B1477">
        <w:t xml:space="preserve"> is utilization of space </w:t>
      </w:r>
      <w:r w:rsidR="00D17691">
        <w:t>that fulfills the specified function for which it was assigned.</w:t>
      </w:r>
    </w:p>
    <w:p w:rsidR="00EB79E6" w:rsidRDefault="00EB79E6" w:rsidP="00D17691">
      <w:pPr>
        <w:pStyle w:val="ListParagraph"/>
        <w:numPr>
          <w:ilvl w:val="0"/>
          <w:numId w:val="1"/>
        </w:numPr>
        <w:spacing w:before="120" w:after="240" w:line="240" w:lineRule="auto"/>
        <w:ind w:left="810" w:hanging="450"/>
        <w:contextualSpacing w:val="0"/>
      </w:pPr>
      <w:r w:rsidRPr="00BD7E13">
        <w:rPr>
          <w:b/>
        </w:rPr>
        <w:t>Efficient utilization</w:t>
      </w:r>
      <w:r w:rsidR="008B1477">
        <w:t xml:space="preserve"> is utilization of space that is either at the benchmark level of the</w:t>
      </w:r>
      <w:r w:rsidR="00D17691">
        <w:t xml:space="preserve"> relevant</w:t>
      </w:r>
      <w:r w:rsidR="008B1477">
        <w:t xml:space="preserve"> metric or exceeds that level.</w:t>
      </w:r>
    </w:p>
    <w:p w:rsidR="00EB79E6" w:rsidRDefault="00EB79E6" w:rsidP="00D17691">
      <w:pPr>
        <w:pStyle w:val="ListParagraph"/>
        <w:numPr>
          <w:ilvl w:val="0"/>
          <w:numId w:val="1"/>
        </w:numPr>
        <w:spacing w:before="120" w:after="240" w:line="240" w:lineRule="auto"/>
        <w:ind w:left="810" w:hanging="450"/>
        <w:contextualSpacing w:val="0"/>
      </w:pPr>
      <w:r w:rsidRPr="00BD7E13">
        <w:rPr>
          <w:b/>
        </w:rPr>
        <w:t>Transparent</w:t>
      </w:r>
      <w:r w:rsidR="00D81E90" w:rsidRPr="00BD7E13">
        <w:rPr>
          <w:b/>
        </w:rPr>
        <w:t xml:space="preserve"> </w:t>
      </w:r>
      <w:r w:rsidR="00D81E90">
        <w:t xml:space="preserve">– visible </w:t>
      </w:r>
      <w:r w:rsidR="00A7019E">
        <w:t>and open to public scrutiny and review</w:t>
      </w:r>
    </w:p>
    <w:p w:rsidR="00EB79E6" w:rsidRDefault="00EB79E6" w:rsidP="00D17691">
      <w:pPr>
        <w:pStyle w:val="ListParagraph"/>
        <w:numPr>
          <w:ilvl w:val="0"/>
          <w:numId w:val="1"/>
        </w:numPr>
        <w:spacing w:before="120" w:after="240" w:line="240" w:lineRule="auto"/>
        <w:ind w:left="810" w:hanging="450"/>
        <w:contextualSpacing w:val="0"/>
      </w:pPr>
      <w:r w:rsidRPr="00BD7E13">
        <w:rPr>
          <w:b/>
        </w:rPr>
        <w:t>Equitable</w:t>
      </w:r>
      <w:r w:rsidR="00D81E90">
        <w:t xml:space="preserve"> – impartial and unbiased</w:t>
      </w:r>
    </w:p>
    <w:p w:rsidR="00EB79E6" w:rsidRDefault="00EB79E6" w:rsidP="00D17691">
      <w:pPr>
        <w:pStyle w:val="ListParagraph"/>
        <w:numPr>
          <w:ilvl w:val="0"/>
          <w:numId w:val="1"/>
        </w:numPr>
        <w:spacing w:before="120" w:after="240" w:line="240" w:lineRule="auto"/>
        <w:ind w:left="810" w:hanging="450"/>
        <w:contextualSpacing w:val="0"/>
      </w:pPr>
      <w:r w:rsidRPr="00BD7E13">
        <w:rPr>
          <w:b/>
        </w:rPr>
        <w:t>Consistent</w:t>
      </w:r>
      <w:r w:rsidR="00D81E90">
        <w:t xml:space="preserve"> – predictable decisions that constantly adhere to an agreed upon set of principles</w:t>
      </w:r>
      <w:r w:rsidR="00327E5C">
        <w:t>.</w:t>
      </w:r>
    </w:p>
    <w:p w:rsidR="00EB79E6" w:rsidRDefault="00934373" w:rsidP="00D17691">
      <w:pPr>
        <w:pStyle w:val="ListParagraph"/>
        <w:numPr>
          <w:ilvl w:val="0"/>
          <w:numId w:val="1"/>
        </w:numPr>
        <w:spacing w:before="120" w:after="240" w:line="240" w:lineRule="auto"/>
        <w:ind w:left="810" w:hanging="450"/>
        <w:contextualSpacing w:val="0"/>
      </w:pPr>
      <w:r w:rsidRPr="00BD7E13">
        <w:rPr>
          <w:b/>
        </w:rPr>
        <w:t>Multiuse</w:t>
      </w:r>
      <w:r w:rsidR="00D81E90">
        <w:t xml:space="preserve"> – spaces that are capable of supporting multiple functions and uses</w:t>
      </w:r>
      <w:r w:rsidR="00327E5C">
        <w:t>.</w:t>
      </w:r>
    </w:p>
    <w:p w:rsidR="00934373" w:rsidRDefault="00934373" w:rsidP="00D17691">
      <w:pPr>
        <w:pStyle w:val="ListParagraph"/>
        <w:numPr>
          <w:ilvl w:val="0"/>
          <w:numId w:val="1"/>
        </w:numPr>
        <w:spacing w:before="120" w:after="240" w:line="240" w:lineRule="auto"/>
        <w:ind w:left="810" w:hanging="450"/>
        <w:contextualSpacing w:val="0"/>
      </w:pPr>
      <w:r w:rsidRPr="00BD7E13">
        <w:rPr>
          <w:b/>
        </w:rPr>
        <w:t>Multipurpose spaces</w:t>
      </w:r>
      <w:r w:rsidR="00D81E90">
        <w:t xml:space="preserve"> – space that have been designed</w:t>
      </w:r>
      <w:r w:rsidR="00327E5C">
        <w:t xml:space="preserve"> with multiple purposes in mind.</w:t>
      </w:r>
    </w:p>
    <w:p w:rsidR="00BD7E13" w:rsidRDefault="00BD7E13" w:rsidP="00BD7E13">
      <w:pPr>
        <w:spacing w:before="120" w:after="240" w:line="240" w:lineRule="auto"/>
      </w:pPr>
    </w:p>
    <w:p w:rsidR="00BD7E13" w:rsidRDefault="00BD7E13" w:rsidP="00BD7E13">
      <w:pPr>
        <w:spacing w:before="120" w:after="240" w:line="240" w:lineRule="auto"/>
      </w:pPr>
    </w:p>
    <w:p w:rsidR="00BD7E13" w:rsidRDefault="00BD7E13" w:rsidP="00BD7E13">
      <w:pPr>
        <w:spacing w:before="120" w:after="240" w:line="240" w:lineRule="auto"/>
      </w:pPr>
    </w:p>
    <w:p w:rsidR="00BD7E13" w:rsidRPr="00BD7E13" w:rsidRDefault="00BD7E13" w:rsidP="00BD7E13">
      <w:pPr>
        <w:spacing w:after="0" w:line="240" w:lineRule="auto"/>
        <w:rPr>
          <w:b/>
        </w:rPr>
      </w:pPr>
      <w:r w:rsidRPr="00BD7E13">
        <w:rPr>
          <w:b/>
        </w:rPr>
        <w:t>Version 1</w:t>
      </w:r>
    </w:p>
    <w:p w:rsidR="00BD7E13" w:rsidRPr="00BD7E13" w:rsidRDefault="00BD7E13" w:rsidP="00BD7E13">
      <w:pPr>
        <w:spacing w:after="0" w:line="240" w:lineRule="auto"/>
        <w:rPr>
          <w:b/>
        </w:rPr>
      </w:pPr>
      <w:r w:rsidRPr="00BD7E13">
        <w:rPr>
          <w:b/>
        </w:rPr>
        <w:t>May 9, 2017</w:t>
      </w:r>
    </w:p>
    <w:sectPr w:rsidR="00BD7E13" w:rsidRPr="00BD7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5769E"/>
    <w:multiLevelType w:val="hybridMultilevel"/>
    <w:tmpl w:val="04B2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C9"/>
    <w:rsid w:val="000114A3"/>
    <w:rsid w:val="00014449"/>
    <w:rsid w:val="0004344E"/>
    <w:rsid w:val="00231182"/>
    <w:rsid w:val="00327E5C"/>
    <w:rsid w:val="003C1384"/>
    <w:rsid w:val="004829C9"/>
    <w:rsid w:val="005075E7"/>
    <w:rsid w:val="0086667F"/>
    <w:rsid w:val="008B1477"/>
    <w:rsid w:val="00934373"/>
    <w:rsid w:val="00A7019E"/>
    <w:rsid w:val="00AC55D4"/>
    <w:rsid w:val="00B61930"/>
    <w:rsid w:val="00BD5941"/>
    <w:rsid w:val="00BD7E13"/>
    <w:rsid w:val="00C52533"/>
    <w:rsid w:val="00D17691"/>
    <w:rsid w:val="00D74CF6"/>
    <w:rsid w:val="00D81E90"/>
    <w:rsid w:val="00E149D6"/>
    <w:rsid w:val="00EB79E6"/>
    <w:rsid w:val="00ED6F9C"/>
    <w:rsid w:val="00F55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9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Saunders</dc:creator>
  <cp:keywords/>
  <dc:description/>
  <cp:lastModifiedBy>Richard Cummings</cp:lastModifiedBy>
  <cp:revision>2</cp:revision>
  <dcterms:created xsi:type="dcterms:W3CDTF">2017-07-13T22:46:00Z</dcterms:created>
  <dcterms:modified xsi:type="dcterms:W3CDTF">2017-07-13T22:46:00Z</dcterms:modified>
</cp:coreProperties>
</file>